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4B4C" w14:textId="77777777" w:rsidR="00D4718E" w:rsidRDefault="00D4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  <w:rPr>
          <w:b/>
          <w:bCs/>
          <w:sz w:val="32"/>
          <w:szCs w:val="32"/>
        </w:rPr>
      </w:pPr>
    </w:p>
    <w:p w14:paraId="665F9B04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  <w:rPr>
          <w:rStyle w:val="Geen"/>
        </w:rPr>
      </w:pPr>
      <w:r w:rsidRPr="00DC0DBE">
        <w:rPr>
          <w:b/>
          <w:bCs/>
        </w:rPr>
        <w:t>Checklist inclusie evenementen</w:t>
      </w:r>
    </w:p>
    <w:p w14:paraId="7CCAE4C1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  <w:rPr>
          <w:rStyle w:val="Geen"/>
        </w:rPr>
      </w:pPr>
      <w:r w:rsidRPr="00DC0DBE">
        <w:rPr>
          <w:b/>
          <w:bCs/>
        </w:rPr>
        <w:t>Productie</w:t>
      </w:r>
    </w:p>
    <w:p w14:paraId="0EB6CD6E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Tolkvoorzieningen</w:t>
      </w:r>
    </w:p>
    <w:p w14:paraId="15F3BE9E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Gebarentolk (Nederlands)</w:t>
      </w:r>
    </w:p>
    <w:p w14:paraId="42E47C14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Vraag een gebarentolk aan via: </w:t>
      </w:r>
      <w:hyperlink r:id="rId7" w:history="1">
        <w:r w:rsidRPr="00DC0DBE">
          <w:rPr>
            <w:rStyle w:val="Hyperlink2"/>
          </w:rPr>
          <w:t>UWV Tolkuren voor organisaties</w:t>
        </w:r>
      </w:hyperlink>
    </w:p>
    <w:p w14:paraId="5278EC72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proofErr w:type="spellStart"/>
      <w:r w:rsidRPr="00DC0DBE">
        <w:t>Audiodescriptietolk</w:t>
      </w:r>
      <w:proofErr w:type="spellEnd"/>
    </w:p>
    <w:p w14:paraId="0413C1CF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Meer informatie en aanvragen: </w:t>
      </w:r>
      <w:hyperlink r:id="rId8" w:history="1">
        <w:r w:rsidRPr="00DC0DBE">
          <w:rPr>
            <w:rStyle w:val="Hyperlink2"/>
          </w:rPr>
          <w:t>Kom Het Zien - Professionals</w:t>
        </w:r>
      </w:hyperlink>
    </w:p>
    <w:p w14:paraId="04FEE75D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Fysieke toegankelijkheid</w:t>
      </w:r>
    </w:p>
    <w:p w14:paraId="41FE8100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Zorg voor een brede ingang en extra brede toiletten.</w:t>
      </w:r>
    </w:p>
    <w:p w14:paraId="5BA7A8E7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Zorg voor goed verlichte en veilige looppaden.</w:t>
      </w:r>
    </w:p>
    <w:p w14:paraId="4A077FD5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Toegankelijkheid opnemen in het veiligheidsplan.</w:t>
      </w:r>
    </w:p>
    <w:p w14:paraId="1CBFE706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Diversiteit</w:t>
      </w:r>
    </w:p>
    <w:p w14:paraId="090E8017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Bevorder diversiteit op het evenement:</w:t>
      </w:r>
    </w:p>
    <w:p w14:paraId="0C549A98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Diversiteit in bemensing.</w:t>
      </w:r>
    </w:p>
    <w:p w14:paraId="24BB8174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Diversiteit in sprekers of artiesten.</w:t>
      </w:r>
    </w:p>
    <w:p w14:paraId="4861F683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Catering</w:t>
      </w:r>
    </w:p>
    <w:p w14:paraId="713AE258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Biedt cateringopties die rekening houden met verschillende dieetvoorkeuren:</w:t>
      </w:r>
    </w:p>
    <w:p w14:paraId="7B0A333D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Vegetarisch, veganistisch, halal, glutenvrij, etc.</w:t>
      </w:r>
    </w:p>
    <w:p w14:paraId="515CB34E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Alcoholvrije opties.</w:t>
      </w:r>
    </w:p>
    <w:p w14:paraId="6C5792D2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76A87A2C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3863DBCD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69F41E03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5530516C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39B0917F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lastRenderedPageBreak/>
        <w:t> </w:t>
      </w:r>
    </w:p>
    <w:p w14:paraId="45CA993E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</w:pPr>
      <w:r w:rsidRPr="00DC0DBE">
        <w:t> </w:t>
      </w:r>
    </w:p>
    <w:p w14:paraId="0865ACC7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  <w:rPr>
          <w:rStyle w:val="Geen"/>
        </w:rPr>
      </w:pPr>
      <w:r w:rsidRPr="00DC0DBE">
        <w:rPr>
          <w:b/>
          <w:bCs/>
        </w:rPr>
        <w:t>Communicatie</w:t>
      </w:r>
    </w:p>
    <w:p w14:paraId="3FA20C2F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Toegankelijkheid</w:t>
      </w:r>
    </w:p>
    <w:p w14:paraId="46BA4243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Geef vooraf duidelijk aan wat wel en niet toegankelijk is op het evenement.</w:t>
      </w:r>
    </w:p>
    <w:p w14:paraId="728CE059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 xml:space="preserve">Zorg voor duidelijke </w:t>
      </w:r>
      <w:proofErr w:type="spellStart"/>
      <w:r w:rsidRPr="00DC0DBE">
        <w:t>signing</w:t>
      </w:r>
      <w:proofErr w:type="spellEnd"/>
      <w:r w:rsidRPr="00DC0DBE">
        <w:t xml:space="preserve"> op locatie (bijvoorbeeld bewegwijzering en informatieborden).</w:t>
      </w:r>
    </w:p>
    <w:p w14:paraId="2187B8A2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Gebruik specifieke en positieve termen zoals "extra breed toilet" of "rolstoeltoegankelijk". Vermijd termen zoals "MIVA".</w:t>
      </w:r>
    </w:p>
    <w:p w14:paraId="6EC2F3E5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 xml:space="preserve">Leesbaarheid van </w:t>
      </w:r>
      <w:proofErr w:type="spellStart"/>
      <w:r w:rsidRPr="00DC0DBE">
        <w:rPr>
          <w:b/>
          <w:bCs/>
        </w:rPr>
        <w:t>signing</w:t>
      </w:r>
      <w:proofErr w:type="spellEnd"/>
      <w:r w:rsidRPr="00DC0DBE">
        <w:rPr>
          <w:b/>
          <w:bCs/>
        </w:rPr>
        <w:t xml:space="preserve"> en communicatie</w:t>
      </w:r>
    </w:p>
    <w:p w14:paraId="48137840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 xml:space="preserve">Controleer hoe kleurenblinde mensen de </w:t>
      </w:r>
      <w:proofErr w:type="spellStart"/>
      <w:r w:rsidRPr="00DC0DBE">
        <w:t>visuals</w:t>
      </w:r>
      <w:proofErr w:type="spellEnd"/>
      <w:r w:rsidRPr="00DC0DBE">
        <w:t xml:space="preserve"> zien met tools zoals </w:t>
      </w:r>
      <w:proofErr w:type="spellStart"/>
      <w:r w:rsidRPr="00DC0DBE">
        <w:rPr>
          <w:rStyle w:val="Hyperlink2"/>
          <w:sz w:val="21"/>
          <w:szCs w:val="21"/>
        </w:rPr>
        <w:fldChar w:fldCharType="begin"/>
      </w:r>
      <w:r w:rsidRPr="00DC0DBE">
        <w:rPr>
          <w:rStyle w:val="Hyperlink2"/>
        </w:rPr>
        <w:instrText xml:space="preserve"> HYPERLINK "https://colororacle.org/"</w:instrText>
      </w:r>
      <w:r w:rsidRPr="00DC0DBE">
        <w:rPr>
          <w:rStyle w:val="Hyperlink2"/>
          <w:sz w:val="21"/>
          <w:szCs w:val="21"/>
        </w:rPr>
      </w:r>
      <w:r w:rsidRPr="00DC0DBE">
        <w:rPr>
          <w:rStyle w:val="Hyperlink2"/>
          <w:sz w:val="21"/>
          <w:szCs w:val="21"/>
        </w:rPr>
        <w:fldChar w:fldCharType="separate"/>
      </w:r>
      <w:r w:rsidRPr="00DC0DBE">
        <w:rPr>
          <w:rStyle w:val="Hyperlink2"/>
        </w:rPr>
        <w:t>Color</w:t>
      </w:r>
      <w:proofErr w:type="spellEnd"/>
      <w:r w:rsidRPr="00DC0DBE">
        <w:rPr>
          <w:rStyle w:val="Hyperlink2"/>
        </w:rPr>
        <w:t> Oracle</w:t>
      </w:r>
      <w:r w:rsidRPr="00DC0DBE">
        <w:fldChar w:fldCharType="end"/>
      </w:r>
      <w:r w:rsidRPr="00DC0DBE">
        <w:t>.</w:t>
      </w:r>
    </w:p>
    <w:p w14:paraId="2DF903FF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Controleer kleurcontrast tussen tekst en achtergrond met </w:t>
      </w:r>
      <w:proofErr w:type="spellStart"/>
      <w:r w:rsidRPr="00DC0DBE">
        <w:rPr>
          <w:rStyle w:val="Hyperlink2"/>
          <w:sz w:val="21"/>
          <w:szCs w:val="21"/>
        </w:rPr>
        <w:fldChar w:fldCharType="begin"/>
      </w:r>
      <w:r w:rsidRPr="00DC0DBE">
        <w:rPr>
          <w:rStyle w:val="Hyperlink2"/>
        </w:rPr>
        <w:instrText xml:space="preserve"> HYPERLINK "https://coolors.co/contrast-checker/112a46-acc8e5"</w:instrText>
      </w:r>
      <w:r w:rsidRPr="00DC0DBE">
        <w:rPr>
          <w:rStyle w:val="Hyperlink2"/>
          <w:sz w:val="21"/>
          <w:szCs w:val="21"/>
        </w:rPr>
      </w:r>
      <w:r w:rsidRPr="00DC0DBE">
        <w:rPr>
          <w:rStyle w:val="Hyperlink2"/>
          <w:sz w:val="21"/>
          <w:szCs w:val="21"/>
        </w:rPr>
        <w:fldChar w:fldCharType="separate"/>
      </w:r>
      <w:r w:rsidRPr="00DC0DBE">
        <w:rPr>
          <w:rStyle w:val="Hyperlink2"/>
        </w:rPr>
        <w:t>Coolors</w:t>
      </w:r>
      <w:proofErr w:type="spellEnd"/>
      <w:r w:rsidRPr="00DC0DBE">
        <w:rPr>
          <w:rStyle w:val="Hyperlink2"/>
        </w:rPr>
        <w:t> Contrast Checker</w:t>
      </w:r>
      <w:r w:rsidRPr="00DC0DBE">
        <w:fldChar w:fldCharType="end"/>
      </w:r>
      <w:r w:rsidRPr="00DC0DBE">
        <w:t>.</w:t>
      </w:r>
    </w:p>
    <w:p w14:paraId="451B11D2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Gebruik grotere lettertypes voor betere leesbaarheid.</w:t>
      </w:r>
    </w:p>
    <w:p w14:paraId="3A878A5E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Inclusieve taal</w:t>
      </w:r>
    </w:p>
    <w:p w14:paraId="7CD41342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Gebruik neutrale termen zoals:</w:t>
      </w:r>
    </w:p>
    <w:p w14:paraId="6EF3C662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Bemensing.</w:t>
      </w:r>
    </w:p>
    <w:p w14:paraId="190E7DBD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Kassamedewerker.</w:t>
      </w:r>
    </w:p>
    <w:p w14:paraId="5BFA70EF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Stagiair.</w:t>
      </w:r>
    </w:p>
    <w:p w14:paraId="31CB6049" w14:textId="77777777" w:rsidR="00D4718E" w:rsidRPr="00DC0DBE" w:rsidRDefault="00000000">
      <w:pPr>
        <w:numPr>
          <w:ilvl w:val="2"/>
          <w:numId w:val="2"/>
        </w:numPr>
        <w:suppressAutoHyphens/>
        <w:spacing w:after="213"/>
      </w:pPr>
      <w:r w:rsidRPr="00DC0DBE">
        <w:t>Schoonmaker.</w:t>
      </w:r>
    </w:p>
    <w:p w14:paraId="623993BA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>Gebruik genderneutrale voornaamwoorden zoals "die/hun" (bijvoorbeeld: "die persoon zei...").</w:t>
      </w:r>
    </w:p>
    <w:p w14:paraId="55E54426" w14:textId="77777777" w:rsidR="00D4718E" w:rsidRPr="00DC0DBE" w:rsidRDefault="00000000">
      <w:pPr>
        <w:numPr>
          <w:ilvl w:val="0"/>
          <w:numId w:val="2"/>
        </w:numPr>
        <w:suppressAutoHyphens/>
        <w:spacing w:after="213"/>
        <w:rPr>
          <w:b/>
          <w:bCs/>
        </w:rPr>
      </w:pPr>
      <w:r w:rsidRPr="00DC0DBE">
        <w:rPr>
          <w:b/>
          <w:bCs/>
        </w:rPr>
        <w:t>Meertalige communicatie</w:t>
      </w:r>
    </w:p>
    <w:p w14:paraId="57745020" w14:textId="77777777" w:rsidR="00D4718E" w:rsidRPr="00DC0DBE" w:rsidRDefault="00000000">
      <w:pPr>
        <w:numPr>
          <w:ilvl w:val="1"/>
          <w:numId w:val="2"/>
        </w:numPr>
        <w:suppressAutoHyphens/>
        <w:spacing w:after="213"/>
      </w:pPr>
      <w:r w:rsidRPr="00DC0DBE">
        <w:t xml:space="preserve">Zorg voor meertalige </w:t>
      </w:r>
      <w:proofErr w:type="spellStart"/>
      <w:r w:rsidRPr="00DC0DBE">
        <w:t>signing</w:t>
      </w:r>
      <w:proofErr w:type="spellEnd"/>
      <w:r w:rsidRPr="00DC0DBE">
        <w:t xml:space="preserve"> en informatie waar nodig.</w:t>
      </w:r>
    </w:p>
    <w:p w14:paraId="2432D22A" w14:textId="77777777" w:rsidR="00D4718E" w:rsidRPr="00DC0DB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13"/>
        <w:rPr>
          <w:sz w:val="21"/>
          <w:szCs w:val="21"/>
        </w:rPr>
      </w:pPr>
      <w:r w:rsidRPr="00DC0DBE">
        <w:t> </w:t>
      </w:r>
    </w:p>
    <w:sectPr w:rsidR="00D4718E" w:rsidRPr="00DC0DB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FC2A" w14:textId="77777777" w:rsidR="00F865DF" w:rsidRDefault="00F865DF">
      <w:r>
        <w:separator/>
      </w:r>
    </w:p>
  </w:endnote>
  <w:endnote w:type="continuationSeparator" w:id="0">
    <w:p w14:paraId="28681065" w14:textId="77777777" w:rsidR="00F865DF" w:rsidRDefault="00F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4F9F" w14:textId="77777777" w:rsidR="00D4718E" w:rsidRDefault="00000000">
    <w:pPr>
      <w:spacing w:line="276" w:lineRule="auto"/>
      <w:jc w:val="center"/>
      <w:rPr>
        <w:rStyle w:val="Geen"/>
        <w:sz w:val="16"/>
        <w:szCs w:val="16"/>
      </w:rPr>
    </w:pPr>
    <w:r>
      <w:rPr>
        <w:rFonts w:ascii="Verdana" w:hAnsi="Verdana"/>
        <w:color w:val="00B3C6"/>
        <w:sz w:val="16"/>
        <w:szCs w:val="16"/>
        <w:u w:color="00B3C6"/>
      </w:rPr>
      <w:t xml:space="preserve">Van der Woudestraat 29, 1815 VT Alkmaar   |   </w:t>
    </w:r>
    <w:hyperlink r:id="rId1" w:history="1">
      <w:r>
        <w:rPr>
          <w:rStyle w:val="Hyperlink0"/>
        </w:rPr>
        <w:t>info@doss.nl</w:t>
      </w:r>
    </w:hyperlink>
    <w:r>
      <w:rPr>
        <w:rStyle w:val="Geen"/>
        <w:rFonts w:ascii="Verdana" w:hAnsi="Verdana"/>
        <w:color w:val="00B3C6"/>
        <w:sz w:val="16"/>
        <w:szCs w:val="16"/>
        <w:u w:color="00B3C6"/>
      </w:rPr>
      <w:t xml:space="preserve">   |   </w:t>
    </w:r>
    <w:hyperlink r:id="rId2" w:history="1">
      <w:r>
        <w:rPr>
          <w:rStyle w:val="Hyperlink1"/>
        </w:rPr>
        <w:t>www.doss.nl</w:t>
      </w:r>
    </w:hyperlink>
    <w:r>
      <w:rPr>
        <w:rStyle w:val="Hyperlink1"/>
      </w:rPr>
      <w:t xml:space="preserve">   </w:t>
    </w:r>
    <w:r>
      <w:rPr>
        <w:rStyle w:val="Geen"/>
        <w:sz w:val="16"/>
        <w:szCs w:val="16"/>
      </w:rPr>
      <w:t xml:space="preserve">  </w:t>
    </w:r>
  </w:p>
  <w:p w14:paraId="075756B7" w14:textId="77777777" w:rsidR="00D4718E" w:rsidRDefault="00000000">
    <w:pPr>
      <w:spacing w:line="276" w:lineRule="auto"/>
      <w:jc w:val="center"/>
    </w:pPr>
    <w:r>
      <w:rPr>
        <w:rStyle w:val="Hyperlink1"/>
      </w:rPr>
      <w:t xml:space="preserve">NL18RABO0317460846   |   BTW 857378120B01   |   </w:t>
    </w:r>
    <w:r>
      <w:rPr>
        <w:rStyle w:val="Hyperlink0"/>
      </w:rPr>
      <w:t>KvK</w:t>
    </w:r>
    <w:r>
      <w:rPr>
        <w:rStyle w:val="Geen"/>
        <w:rFonts w:ascii="Arial" w:hAnsi="Arial"/>
        <w:color w:val="00B3C6"/>
        <w:sz w:val="16"/>
        <w:szCs w:val="16"/>
        <w:u w:color="00B3C6"/>
      </w:rPr>
      <w:t> </w:t>
    </w:r>
    <w:r>
      <w:rPr>
        <w:rStyle w:val="Hyperlink0"/>
      </w:rPr>
      <w:t>68291493</w:t>
    </w:r>
    <w:r>
      <w:rPr>
        <w:rStyle w:val="Hyperlink1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E9C8" w14:textId="77777777" w:rsidR="00F865DF" w:rsidRDefault="00F865DF">
      <w:r>
        <w:separator/>
      </w:r>
    </w:p>
  </w:footnote>
  <w:footnote w:type="continuationSeparator" w:id="0">
    <w:p w14:paraId="11255E70" w14:textId="77777777" w:rsidR="00F865DF" w:rsidRDefault="00F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D712" w14:textId="77777777" w:rsidR="00D4718E" w:rsidRDefault="00000000">
    <w:pPr>
      <w:pStyle w:val="Koptekst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61EF13D7" wp14:editId="2BD915B8">
          <wp:extent cx="1327263" cy="583908"/>
          <wp:effectExtent l="0" t="0" r="0" b="0"/>
          <wp:docPr id="1073741825" name="officeArt object" descr="/Users/Walter/Dropbox/CREATIEF WERK/DOSS/DEF ARTWORK/DEF BEELDEN/Doss logo Wo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Users/Walter/Dropbox/CREATIEF WERK/DOSS/DEF ARTWORK/DEF BEELDEN/Doss logo Word.jpg" descr="/Users/Walter/Dropbox/CREATIEF WERK/DOSS/DEF ARTWORK/DEF BEELDEN/Doss logo Wor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263" cy="5839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73F2"/>
    <w:multiLevelType w:val="hybridMultilevel"/>
    <w:tmpl w:val="FCA882FC"/>
    <w:numStyleLink w:val="Opsomming"/>
  </w:abstractNum>
  <w:abstractNum w:abstractNumId="1" w15:restartNumberingAfterBreak="0">
    <w:nsid w:val="709E387E"/>
    <w:multiLevelType w:val="hybridMultilevel"/>
    <w:tmpl w:val="FCA882FC"/>
    <w:styleLink w:val="Opsomming"/>
    <w:lvl w:ilvl="0" w:tplc="60A6311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8AD9A">
      <w:start w:val="1"/>
      <w:numFmt w:val="bullet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92117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C08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52CFE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AFA6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4C6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EC5C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6805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665970">
    <w:abstractNumId w:val="1"/>
  </w:num>
  <w:num w:numId="2" w16cid:durableId="104256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E"/>
    <w:rsid w:val="000C3B94"/>
    <w:rsid w:val="00D4718E"/>
    <w:rsid w:val="00DC0DBE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782E5"/>
  <w15:docId w15:val="{B7D82042-25E4-5F43-94DB-9546AC3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outline w:val="0"/>
      <w:color w:val="00B3C6"/>
      <w:sz w:val="16"/>
      <w:szCs w:val="16"/>
      <w:u w:color="00B3C6"/>
    </w:rPr>
  </w:style>
  <w:style w:type="character" w:customStyle="1" w:styleId="Hyperlink1">
    <w:name w:val="Hyperlink.1"/>
    <w:basedOn w:val="Geen"/>
    <w:rPr>
      <w:rFonts w:ascii="Verdana" w:eastAsia="Verdana" w:hAnsi="Verdana" w:cs="Verdana"/>
      <w:outline w:val="0"/>
      <w:color w:val="00B3C6"/>
      <w:sz w:val="16"/>
      <w:szCs w:val="16"/>
      <w:u w:color="00B3C6"/>
    </w:rPr>
  </w:style>
  <w:style w:type="numbering" w:customStyle="1" w:styleId="Opsomming">
    <w:name w:val="Opsomming"/>
    <w:pPr>
      <w:numPr>
        <w:numId w:val="1"/>
      </w:numPr>
    </w:pPr>
  </w:style>
  <w:style w:type="character" w:customStyle="1" w:styleId="Hyperlink2">
    <w:name w:val="Hyperlink.2"/>
    <w:basedOn w:val="Geen"/>
    <w:rPr>
      <w:outline w:val="0"/>
      <w:color w:val="467886"/>
      <w:u w:val="single" w:color="4678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thetzien.nl/profession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v.nl/nl/schrijf-gebarentolk/tolkuren-organisa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ss.nl" TargetMode="External"/><Relationship Id="rId1" Type="http://schemas.openxmlformats.org/officeDocument/2006/relationships/hyperlink" Target="mailto:info@do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Doss</cp:lastModifiedBy>
  <cp:revision>2</cp:revision>
  <dcterms:created xsi:type="dcterms:W3CDTF">2024-12-30T14:59:00Z</dcterms:created>
  <dcterms:modified xsi:type="dcterms:W3CDTF">2024-12-30T14:59:00Z</dcterms:modified>
</cp:coreProperties>
</file>